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25" w:rsidRDefault="000D2D25">
      <w:pPr>
        <w:pStyle w:val="ConsPlusTitle"/>
        <w:jc w:val="center"/>
      </w:pPr>
      <w:r>
        <w:t>МИНИСТЕРСТВО ФИНАНСОВ РОССИЙСКОЙ ФЕДЕРАЦИИ</w:t>
      </w:r>
    </w:p>
    <w:p w:rsidR="000D2D25" w:rsidRDefault="000D2D25">
      <w:pPr>
        <w:pStyle w:val="ConsPlusTitle"/>
        <w:jc w:val="center"/>
      </w:pPr>
    </w:p>
    <w:p w:rsidR="000D2D25" w:rsidRDefault="000D2D25">
      <w:pPr>
        <w:pStyle w:val="ConsPlusTitle"/>
        <w:jc w:val="center"/>
      </w:pPr>
      <w:r>
        <w:t>ИНФОРМАЦИОННОЕ СООБЩЕНИЕ</w:t>
      </w:r>
    </w:p>
    <w:p w:rsidR="000D2D25" w:rsidRDefault="000D2D25">
      <w:pPr>
        <w:pStyle w:val="ConsPlusTitle"/>
        <w:jc w:val="center"/>
      </w:pPr>
      <w:r>
        <w:t>10 июня 2021 г. N ИС-учет-33</w:t>
      </w:r>
    </w:p>
    <w:p w:rsidR="000D2D25" w:rsidRDefault="000D2D25">
      <w:pPr>
        <w:pStyle w:val="ConsPlusTitle"/>
        <w:jc w:val="center"/>
      </w:pPr>
    </w:p>
    <w:p w:rsidR="000D2D25" w:rsidRDefault="000D2D25">
      <w:pPr>
        <w:pStyle w:val="ConsPlusTitle"/>
        <w:jc w:val="center"/>
      </w:pPr>
      <w:r>
        <w:t>НОВАЯ РЕДАКЦИЯ</w:t>
      </w:r>
    </w:p>
    <w:p w:rsidR="000D2D25" w:rsidRDefault="000D2D25">
      <w:pPr>
        <w:pStyle w:val="ConsPlusTitle"/>
        <w:jc w:val="center"/>
      </w:pPr>
      <w:r>
        <w:t>ПРАВИЛ О ДОКУМЕНТАХ И ДОКУМЕНТООБОРОТЕ</w:t>
      </w:r>
    </w:p>
    <w:p w:rsidR="000D2D25" w:rsidRDefault="000D2D25">
      <w:pPr>
        <w:pStyle w:val="ConsPlusTitle"/>
        <w:jc w:val="center"/>
      </w:pPr>
      <w:r>
        <w:t>В БУХГАЛТЕРСКОМ УЧЕТЕ</w:t>
      </w: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Normal"/>
        <w:ind w:firstLine="540"/>
        <w:jc w:val="both"/>
      </w:pPr>
      <w:r>
        <w:t xml:space="preserve">Приказом Минфина России от 16 апреля 2021 г. N 62н утвержден Федеральный </w:t>
      </w:r>
      <w:hyperlink r:id="rId4" w:history="1">
        <w:r>
          <w:rPr>
            <w:color w:val="0000FF"/>
          </w:rPr>
          <w:t>стандарт</w:t>
        </w:r>
      </w:hyperlink>
      <w:r>
        <w:t xml:space="preserve"> бухгалтерского учета ФСБУ 27/2021 "Документы и документооборот в бухгалтерском учете". Данным федеральным </w:t>
      </w:r>
      <w:hyperlink r:id="rId5" w:history="1">
        <w:r>
          <w:rPr>
            <w:color w:val="0000FF"/>
          </w:rPr>
          <w:t>стандартом</w:t>
        </w:r>
      </w:hyperlink>
      <w:r>
        <w:t xml:space="preserve"> определены требования к документам бухгалтерского учета и документообороту в бухгалтерском учете.</w:t>
      </w: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Title"/>
        <w:jc w:val="center"/>
        <w:outlineLvl w:val="0"/>
      </w:pPr>
      <w:r>
        <w:t>Основные новации</w:t>
      </w: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Normal"/>
        <w:ind w:firstLine="540"/>
        <w:jc w:val="both"/>
      </w:pPr>
      <w:r>
        <w:t>1. Изменена сфера применения правил:</w:t>
      </w:r>
    </w:p>
    <w:p w:rsidR="000D2D25" w:rsidRDefault="000D2D25">
      <w:pPr>
        <w:pStyle w:val="ConsPlusNormal"/>
        <w:spacing w:before="220"/>
        <w:ind w:firstLine="540"/>
        <w:jc w:val="both"/>
      </w:pPr>
      <w:r w:rsidRPr="00E3576E">
        <w:rPr>
          <w:highlight w:val="yellow"/>
        </w:rPr>
        <w:t xml:space="preserve">а) </w:t>
      </w:r>
      <w:hyperlink r:id="rId6" w:history="1">
        <w:r w:rsidRPr="00E3576E">
          <w:rPr>
            <w:color w:val="0000FF"/>
            <w:highlight w:val="yellow"/>
          </w:rPr>
          <w:t>ФСБУ 27/2021</w:t>
        </w:r>
      </w:hyperlink>
      <w:r w:rsidRPr="00E3576E">
        <w:rPr>
          <w:highlight w:val="yellow"/>
        </w:rPr>
        <w:t xml:space="preserve"> распространяется на все экономические субъекты, за исключением организаций бюджетной сферы (ранее - все экономические субъекты, за исключением банков и колхозов). По вопросам документов и документооборота в бухгалтерском учете организации бюджетной сферы руководствуются бюджетным законодательством Российской Федерации и федеральными стандартами бухгалтерского учета государственных финансов</w:t>
      </w:r>
      <w:r>
        <w:t>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б) Банк России имеет возможность определять особенности применения некоторых положений стандарта кредитными и </w:t>
      </w:r>
      <w:proofErr w:type="spellStart"/>
      <w:r>
        <w:t>некредитными</w:t>
      </w:r>
      <w:proofErr w:type="spellEnd"/>
      <w:r>
        <w:t xml:space="preserve"> финансовыми организациями (ранее - не распространялось на банки);</w:t>
      </w:r>
    </w:p>
    <w:p w:rsidR="000D2D25" w:rsidRDefault="000D2D25">
      <w:pPr>
        <w:pStyle w:val="ConsPlusNormal"/>
        <w:spacing w:before="220"/>
        <w:ind w:firstLine="540"/>
        <w:jc w:val="both"/>
      </w:pPr>
      <w:r w:rsidRPr="00E3576E">
        <w:rPr>
          <w:highlight w:val="yellow"/>
        </w:rPr>
        <w:t xml:space="preserve">в) </w:t>
      </w:r>
      <w:hyperlink r:id="rId7" w:history="1">
        <w:r w:rsidRPr="00E3576E">
          <w:rPr>
            <w:color w:val="0000FF"/>
            <w:highlight w:val="yellow"/>
          </w:rPr>
          <w:t>ФСБУ 27/2021</w:t>
        </w:r>
      </w:hyperlink>
      <w:r w:rsidRPr="00E3576E">
        <w:rPr>
          <w:highlight w:val="yellow"/>
        </w:rPr>
        <w:t xml:space="preserve"> установлены требования только к первичным учетным документам и регистрам бухгалтерского учета (ранее - первичные документы, учетные регистры, бухгалтерские отчеты и балансы).</w:t>
      </w:r>
      <w:r>
        <w:t xml:space="preserve"> Действие стандарта не распространяется на бухгалтерскую (финансовую) отчетность, а также на иные документы бухгалтерского учета, указанные в </w:t>
      </w:r>
      <w:hyperlink r:id="rId8" w:history="1">
        <w:r>
          <w:rPr>
            <w:color w:val="0000FF"/>
          </w:rPr>
          <w:t>статье 29</w:t>
        </w:r>
      </w:hyperlink>
      <w:r>
        <w:t xml:space="preserve"> Федерального закона "О бухгалтерском учете".</w:t>
      </w:r>
    </w:p>
    <w:p w:rsidR="000D2D25" w:rsidRDefault="000D2D25">
      <w:pPr>
        <w:pStyle w:val="ConsPlusNormal"/>
        <w:spacing w:before="220"/>
        <w:ind w:firstLine="540"/>
        <w:jc w:val="both"/>
      </w:pPr>
      <w:r w:rsidRPr="00E3576E">
        <w:rPr>
          <w:highlight w:val="yellow"/>
        </w:rPr>
        <w:t>2. Определен термин "дата составления первичного учетного документа" (ранее - термин не определялся).</w:t>
      </w:r>
      <w:r>
        <w:t xml:space="preserve"> Под этой датой понимается дата подписания документа лицом, совершившим сделку, операцию и ответственным за ее оформление, либо лицом, ответственным за оформление совершившегося события. В случае, когда в совершение сделки, операции и оформление ее (оформление совершившегося события) вовлечены несколько лиц, под датой составления первичного учетного документа понимается дата подписания документа лицами, совершившими сделку, операцию и ответственными за ее оформление (лицами, ответственными за оформление совершившегося события).</w:t>
      </w:r>
      <w:r w:rsidR="00E3576E">
        <w:t xml:space="preserve"> 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стандарту</w:t>
        </w:r>
      </w:hyperlink>
      <w:r>
        <w:t xml:space="preserve"> дата составления первичного учетного документа может отличаться от даты совершения факта хозяйственной жизни, оформляемого этим первичным учетным документом. Однако при оформлении факта хозяйственной жизни подлежит исполнению требование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бухгалтерском учете", согласно которому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В связи с этим при различии дат составления первичного учетного документа и совершения факта хозяйственной жизни в первичном учетном документе указываются обе даты.</w:t>
      </w:r>
    </w:p>
    <w:p w:rsidR="000D2D25" w:rsidRDefault="000D2D25">
      <w:pPr>
        <w:pStyle w:val="ConsPlusNormal"/>
        <w:spacing w:before="220"/>
        <w:ind w:firstLine="540"/>
        <w:jc w:val="both"/>
      </w:pPr>
      <w:r w:rsidRPr="00E3576E">
        <w:rPr>
          <w:highlight w:val="yellow"/>
        </w:rPr>
        <w:t>3. Введено понятие "оправдательный документ":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а) </w:t>
      </w:r>
      <w:r w:rsidRPr="00E3576E">
        <w:rPr>
          <w:highlight w:val="yellow"/>
        </w:rPr>
        <w:t xml:space="preserve">оправдательный документ определен как содержащий информацию о факте </w:t>
      </w:r>
      <w:r w:rsidRPr="00E3576E">
        <w:rPr>
          <w:highlight w:val="yellow"/>
        </w:rPr>
        <w:lastRenderedPageBreak/>
        <w:t>хозяйственной жизни документ, на основании которого в первичный учетный документ включаются обязательные реквизиты</w:t>
      </w:r>
      <w:bookmarkStart w:id="0" w:name="_GoBack"/>
      <w:bookmarkEnd w:id="0"/>
      <w:r>
        <w:t xml:space="preserve"> (ранее - определение не формулировалось). Оправдательными документами являются, в частности, документы, оформляющие гражданско-правовые отношения экономического субъекта с контрагентами, работниками, государственными органами, либо используемые для управления экономическим субъектом. Например, договор, кассовый чек, квитанция об оплате, судебный акт, торговый товарный счет. В отличие от первичного учетного документа оправдательный документ не предназначен для оформления факта хозяйственной жизни и не содержит все обязательные реквизиты;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б) в первичный учетный документ, обязательные реквизиты которого указаны на основании оправдательного документа, включается информация, позволяющая идентифицировать оправдательный документ (ранее - такое требование не формулировались);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в) составленный или полученный в процессе деятельности экономического субъекта оправдательный документ может использоваться в качестве первичного учетного документа при условии, что первый содержит все обязательные реквизиты первичного учетного документа (ранее - такая возможность не формулировалась). Иными словами, документ, не являющийся изначально первичным учетным документом, но содержащий все обязательные реквизиты первичного учетного документа, может использоваться в качестве первичного учетного документа для целей бухгалтерского учета; при этом оформление на его основе специального первичного учетного документа не требуется.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4. Установлена возможность применения ряда особых процедур оформления фактов хозяйственной жизни первичными учетными документами: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а) одним первичным учетным документом могу быть оформлены: несколько связанных фактов хозяйственной жизни; ряд сделок, заключенных участником биржевых торгов, по договорам с разными контрагентами;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б) отдельные факты хозяйственной жизни могут оформляться не при их совершении, а с определенной периодичностью (например, за сутки, неделю, месяц, квартал). Такими фактами хозяйственной жизни могут быть: 1) длящиеся факты хозяйственной жизни (начисление процентов, амортизация активов, изменение стоимости активов и обязательств, т.п.); 2) повторяющиеся факты хозяйственной жизни (поставка товара, продукции партиями в разные даты по одному долгосрочному договору, т.п.). В этом случае периодичность составления первичных учетных документов определяется экономическим субъектом исходя из существа факта хозяйственной жизни и требования рациональности; в любом случае первичный учетный документ должен быть составлен на отчетную дату (ранее - подобный порядок допускался при реализации товаров, продукции, работ, услуг с применением контрольно-кассовой техники).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5. Установлены особенности составления документов бухгалтерского учета при ведении организацией деятельности за пределами Российской Федерации (ранее - такие особенности не формулировались). Порядок составления документов зависит от соответствующих требований законодательства или правил иностранного государства, в котором организация ведет деятельность: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а) если местное законодательство требует составлять первичные учетные документы и регистры бухгалтерского учета на языке этого государства - документы составляются на соответствующем иностранном языке; в целях бухгалтерского учета для первичных учетных документов не обязателен построчный перевод на русский язык; регистры бухгалтерского учета должны содержать построчный перевод на русский язык;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б) если такое требование местного законодательства отсутствует - документы должны составляться на русском языке; для первичных учетных документов, составленных на иностранном языке, обязателен построчный перевод на русский язык.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lastRenderedPageBreak/>
        <w:t>6. Установлены общие требования, которым должна отвечать система регистров бухгалтерского учета, принятая экономическим субъектом (ранее - такие требования не формулировались).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7. Определены допустимые виды электронной подписи документов бухгалтерского учета, составляемых в виде электронного документа (ранее - данный вопрос не регулировался правилами):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а) если требование об использовании конкретного вида электронной подписи в соответствии с целями ее использования предусмотрено федеральными законами или принимаемыми в соответствии с ними нормативными правовыми актами, то экономический субъект обязан применять именно этот вид электронной подписи при составлении документов бухгалтерского учета в виде электронных документов;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б) во всех иных случаях виды электронной подписи документов бухгалтерского учета, составляемых в виде электронного документа, устанавливаются экономическим субъектом из числа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электронной подписи": простая электронная подпись, усиленная (неквалифицированная и квалифицированная) электронная подпись;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в) виды электронной подписи первичных учетных документов, составляемых в виде электронного документа экономическим субъектом совместно с другими участниками электронного взаимодействия, определяются соглашением экономического субъекта с данными участниками электронного взаимодействия. В отношении корпоративных информационных систем это требование применяется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электронной подписи". В частности,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ней, если иное не установлено федеральными законами, принимаемыми в соответствии с ними нормативными правовыми актами или решением о создании корпоративной информационной системы.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8. Требования к исправлению документов бухгалтерского учета актуализированы применительно к современным технологиям обработки информации: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а) определено, что допустимые способы исправления документов устанавливает экономический субъект с учетом требований </w:t>
      </w:r>
      <w:hyperlink r:id="rId13" w:history="1">
        <w:r>
          <w:rPr>
            <w:color w:val="0000FF"/>
          </w:rPr>
          <w:t>ФСБУ 27/2021</w:t>
        </w:r>
      </w:hyperlink>
      <w:r>
        <w:t xml:space="preserve"> (ранее - порядок исправления устанавливался правилами);</w:t>
      </w:r>
    </w:p>
    <w:p w:rsidR="000D2D25" w:rsidRDefault="000D2D25">
      <w:pPr>
        <w:pStyle w:val="ConsPlusNormal"/>
        <w:spacing w:before="220"/>
        <w:ind w:firstLine="540"/>
        <w:jc w:val="both"/>
      </w:pPr>
      <w:bookmarkStart w:id="1" w:name="P37"/>
      <w:bookmarkEnd w:id="1"/>
      <w:r>
        <w:t>б) установлены общие требования к исправлениям, а именно: исправления в документах бухгалтерского учета запрещены в случаях, установленных законодательством Российской Федерации или правилами, принятыми в соответствии с ним; в результате исправления должны быть ясны ошибочные и исправленные данные; исправление производится исключительно лицом, составившим первичный учетный документ или ответственным за ведение регистра бухгалтерского учета; исправление должно содержать ряд обязательных реквизитов (дату исправления, подписи лиц, внесших исправление, с указанием их должностей, фамилий и инициалов, либо иных реквизитов, необходимых для идентификации этих лиц);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в) для исправления первичных учетных документов и регистров бухгалтерского учета, составленных в виде электронного документа, допустимы способы, обеспечивающие исполнение требований, установленных </w:t>
      </w:r>
      <w:hyperlink r:id="rId14" w:history="1">
        <w:r>
          <w:rPr>
            <w:color w:val="0000FF"/>
          </w:rPr>
          <w:t>ФСБУ 27/2021</w:t>
        </w:r>
      </w:hyperlink>
      <w:r>
        <w:t xml:space="preserve">. В частности, допустимым является исправление путем составления нового (исправленного) электронного документа. При этом новый (исправленный) документ должен содержать указание на то, что он составлен взамен первоначального электронного документа, а также обязательные реквизиты, перечисленные в </w:t>
      </w:r>
      <w:hyperlink w:anchor="P37" w:history="1">
        <w:r>
          <w:rPr>
            <w:color w:val="0000FF"/>
          </w:rPr>
          <w:t>подпункте "б"</w:t>
        </w:r>
      </w:hyperlink>
      <w:r>
        <w:t xml:space="preserve"> настоящего пункта. Средства воспроизведения нового (исправленного) электронного документа должны обеспечить невозможность использования его отдельно от первоначального электронного документа;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lastRenderedPageBreak/>
        <w:t xml:space="preserve">г) исправление в первичном учетном документе, составленном на бумажном носителе, допустимо только корректурным способом: путем зачеркивания ошибочного текста или суммы и указания исправленного текста или суммы над зачеркнутым. Требования к исполнению корректурного способа внесения исправлений установлены </w:t>
      </w:r>
      <w:hyperlink r:id="rId15" w:history="1">
        <w:r>
          <w:rPr>
            <w:color w:val="0000FF"/>
          </w:rPr>
          <w:t>ФСБУ 27/2021</w:t>
        </w:r>
      </w:hyperlink>
      <w:r>
        <w:t>. Исправление в первичном учетном документе, составленном на бумажном носителе, путем составления нового (исправленного) документа не допускается;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д) исправление в регистре бухгалтерского учета, составленном на бумажном носителе, допустимо корректурным способом, либо путем исправительной записи по счетам бухгалтерского учета. Исправительная запись производится в форме </w:t>
      </w:r>
      <w:proofErr w:type="spellStart"/>
      <w:r>
        <w:t>сторнировочной</w:t>
      </w:r>
      <w:proofErr w:type="spellEnd"/>
      <w:r>
        <w:t xml:space="preserve"> или дополнительной записи. В первом случае в регистр бухгалтерского учета вносится запись на ту же сумму, что и ошибочная запись (часть суммы ошибочной записи), но со знаком минус. Во втором случае - запись на сумму, дополняющую сумму ошибочной записи до правильной величины (ранее - определения </w:t>
      </w:r>
      <w:proofErr w:type="spellStart"/>
      <w:r>
        <w:t>сторнировочной</w:t>
      </w:r>
      <w:proofErr w:type="spellEnd"/>
      <w:r>
        <w:t xml:space="preserve"> и дополнительной записей не формулировались).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9. Уточнены положения, посвященные хранению документов бухгалтерского учета: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а) хранению подлежат, как правило, подлинники документов;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б) документы подлежат хранению в том виде, в котором они составлены. В частности, запрещен перевод документов, составленных на бумажном носителе, в электронный вид с целью последующего хранения;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в) документы и данные, содержащиеся в них, должны храниться на территории Российской Федерации, здесь же должны размещаться базы данных бухгалтерского учета. Стандарт не содержит ограничений на использование экономическим субъектом по своему усмотрению информационных технологий и (или) технических средств, позволяющих выполнить данное требование. Это требование не означает, что в отдельных случаях документы и данные не могут параллельно храниться за пределами Российской Федерации (например, когда законодательство страны-места ведения деятельности за пределами Российской Федерации требует хранить документы бухгалтерского учета на территории данной страны);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г) порядок предоставления доступа к документам бухгалтерского учета устанавливает экономический субъект. При этом должно быть обеспечено информирование главного бухгалтера (иного соответствующего лица) о таком доступе (ранее - выдача документов бухгалтерского учета из бухгалтерии и из архива организации работникам других структурных подразделений организации, как правило, не допускалась, а в отдельных случаях могла производиться по распоряжению главного бухгалтера).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10. Установлены общие требования к документообороту в бухгалтерском учете (ранее - такие требования не формулировались).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11. Из </w:t>
      </w:r>
      <w:hyperlink r:id="rId16" w:history="1">
        <w:r>
          <w:rPr>
            <w:color w:val="0000FF"/>
          </w:rPr>
          <w:t>стандарта</w:t>
        </w:r>
      </w:hyperlink>
      <w:r>
        <w:t xml:space="preserve"> исключены: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а) положения, дублирующие нормы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бухгалтерском учете" и иных регулирующих актов, в частности: состав обязательных реквизитов первичного учетного документа; действия в отношении первичных учетных документов по операциям, противоречащим законодательству; особенности оформления документов по учету операций с денежными средствами; сроки хранения документов бухгалтерского учета; порядок изъятия документов бухгалтерского учета;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б) устаревшие положения, в частности: об унифицированных формах первичной учетной документации; о бланках строгой отчетности; о формах регистров бухгалтерского учета;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в) излишние требования, в частности: процедура проверки первичных учетных документов в бухгалтерии; требования к разработке и оформлению графика документооборота; процедуры </w:t>
      </w:r>
      <w:r>
        <w:lastRenderedPageBreak/>
        <w:t xml:space="preserve">хранения документов бухгалтерского учета; порядок действий в случае пропажи или гибели первичных учетных документов. В силу нормы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бухгалтерском учете", согласно которой ведение бухгалтерского учета и хранение документов бухгалтерского учета организуются руководителем экономического субъекта, решения по указанным вопросам принимает руководитель экономического субъекта.</w:t>
      </w: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Title"/>
        <w:jc w:val="center"/>
        <w:outlineLvl w:val="0"/>
      </w:pPr>
      <w:r>
        <w:t>Вступление в силу</w:t>
      </w: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ФСБУ 27/2021</w:t>
        </w:r>
      </w:hyperlink>
      <w:r>
        <w:t xml:space="preserve"> вступает в силу с 1 января 2022 г. Вместе с тем организация вправе принять решение о досрочном применении этого стандарта.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Стандарт заменяет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документах и документообороте в бухгалтерском учете, утвержденное приказом Минфина СССР от 29 июля 1983 г. N 105. С 1 января 2022 г. это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не подлежит применению на территории Российской Федерации согласно </w:t>
      </w:r>
      <w:hyperlink r:id="rId22" w:history="1">
        <w:r>
          <w:rPr>
            <w:color w:val="0000FF"/>
          </w:rPr>
          <w:t>приказу</w:t>
        </w:r>
      </w:hyperlink>
      <w:r>
        <w:t xml:space="preserve"> Минфина России от 30 апреля 2020 г. N 184.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23" w:history="1">
        <w:r>
          <w:rPr>
            <w:color w:val="0000FF"/>
          </w:rPr>
          <w:t>ФСБУ 27/2021</w:t>
        </w:r>
      </w:hyperlink>
      <w:r>
        <w:t xml:space="preserve"> фактически утрачивают силу также нормы, посвященные первичным учетным документам и регистрам бухгалтерского учета, установленные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ведении бухгалтерского учета и бухгалтерской отчетности в Российской Федерации, утвержденным приказом Минфина России от 29 июля 1998 г. N 34н. В частности, второе и третье предложения </w:t>
      </w:r>
      <w:hyperlink r:id="rId25" w:history="1">
        <w:r>
          <w:rPr>
            <w:color w:val="0000FF"/>
          </w:rPr>
          <w:t>третьего абзаца пункта 9</w:t>
        </w:r>
      </w:hyperlink>
      <w:r>
        <w:t xml:space="preserve">, </w:t>
      </w:r>
      <w:hyperlink r:id="rId26" w:history="1">
        <w:r>
          <w:rPr>
            <w:color w:val="0000FF"/>
          </w:rPr>
          <w:t>пункты 12</w:t>
        </w:r>
      </w:hyperlink>
      <w:r>
        <w:t xml:space="preserve"> - </w:t>
      </w:r>
      <w:hyperlink r:id="rId27" w:history="1">
        <w:r>
          <w:rPr>
            <w:color w:val="0000FF"/>
          </w:rPr>
          <w:t>22</w:t>
        </w:r>
      </w:hyperlink>
      <w:r>
        <w:t xml:space="preserve"> этого Положения.</w:t>
      </w: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Title"/>
        <w:jc w:val="center"/>
        <w:outlineLvl w:val="0"/>
      </w:pPr>
      <w:r>
        <w:t>Непротиворечивость документов, регулирующих</w:t>
      </w:r>
    </w:p>
    <w:p w:rsidR="000D2D25" w:rsidRDefault="000D2D25">
      <w:pPr>
        <w:pStyle w:val="ConsPlusTitle"/>
        <w:jc w:val="center"/>
      </w:pPr>
      <w:r>
        <w:t>бухгалтерский учет</w:t>
      </w: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бухгалтерском учете" отраслевые стандарты бухгалтерского учета и соответствующие нормативные акты Банка России не должны противоречить федеральным стандартам бухгалтерского учета. Рекомендации в области бухгалтерского учета, а также стандарты экономического субъекта не должны противоречить федеральным, отраслевым стандартам бухгалтерского учета и актам Банка России.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письме</w:t>
        </w:r>
      </w:hyperlink>
      <w:r>
        <w:t xml:space="preserve"> Минфина России от 9 июня 2021 г. N 07-01-09/45392 &lt;1&gt; представлен подход к определению того, противоречит ли документ, регулирующий бухгалтерский учет, федеральным стандартам бухгалтерского учета. Согласно этому письму документ в области регулирования бухгалтерского учета, отличный от федеральных стандартов бухгалтерского учета, не считается противоречащим федеральным стандартам, если им &lt;2&gt;: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&lt;1&gt; Опубликовано на официальном Интернет-сайте Минфина России www.minfin.gov.ru в разделе "Бухгалтерский учет и отчетность - Бухгалтерский учет - Законодательные и иные нормативные правовые акты - Обобщение практики применения законодательства".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 xml:space="preserve">&lt;2&gt; При наличии одного или нескольких обстоятельств, перечисленных в </w:t>
      </w:r>
      <w:hyperlink w:anchor="P67" w:history="1">
        <w:r>
          <w:rPr>
            <w:color w:val="0000FF"/>
          </w:rPr>
          <w:t>пунктах "а"</w:t>
        </w:r>
      </w:hyperlink>
      <w:r>
        <w:t xml:space="preserve"> - </w:t>
      </w:r>
      <w:hyperlink w:anchor="P71" w:history="1">
        <w:r>
          <w:rPr>
            <w:color w:val="0000FF"/>
          </w:rPr>
          <w:t>"д"</w:t>
        </w:r>
      </w:hyperlink>
      <w:r>
        <w:t>.</w:t>
      </w: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Normal"/>
        <w:ind w:firstLine="540"/>
        <w:jc w:val="both"/>
      </w:pPr>
      <w:bookmarkStart w:id="2" w:name="P67"/>
      <w:bookmarkEnd w:id="2"/>
      <w:r>
        <w:t>а) усиливается конкретное требование к бухгалтерскому учету, установленное федеральным стандартом;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б) определяются специфические для конкретных видов экономической деятельности способы и (или) формы реализации требований, установленных федеральными стандартами;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t>в) определяются либо конкретизируются специфические для конкретных видов экономической деятельности формы реализации допустимого способа ведения бухгалтерского учета, установленного федеральными стандартами;</w:t>
      </w:r>
    </w:p>
    <w:p w:rsidR="000D2D25" w:rsidRDefault="000D2D25">
      <w:pPr>
        <w:pStyle w:val="ConsPlusNormal"/>
        <w:spacing w:before="220"/>
        <w:ind w:firstLine="540"/>
        <w:jc w:val="both"/>
      </w:pPr>
      <w:r>
        <w:lastRenderedPageBreak/>
        <w:t>г) предусматривается применение не всех допустимых способов ведения бухгалтерского учета, установленных федеральными стандартами, в отдельных видах экономической деятельности;</w:t>
      </w:r>
    </w:p>
    <w:p w:rsidR="000D2D25" w:rsidRDefault="000D2D25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д) дополняются либо конкретизируются состав и объем информации, раскрываемой в бухгалтерской (финансовой) отчетности.</w:t>
      </w: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Normal"/>
        <w:jc w:val="right"/>
      </w:pPr>
      <w:r>
        <w:t>Департамент регулирования</w:t>
      </w:r>
    </w:p>
    <w:p w:rsidR="000D2D25" w:rsidRDefault="000D2D25">
      <w:pPr>
        <w:pStyle w:val="ConsPlusNormal"/>
        <w:jc w:val="right"/>
      </w:pPr>
      <w:r>
        <w:t>бухгалтерского учета, финансовой</w:t>
      </w:r>
    </w:p>
    <w:p w:rsidR="000D2D25" w:rsidRDefault="000D2D25">
      <w:pPr>
        <w:pStyle w:val="ConsPlusNormal"/>
        <w:jc w:val="right"/>
      </w:pPr>
      <w:r>
        <w:t>отчетности и аудиторской деятельности</w:t>
      </w:r>
    </w:p>
    <w:p w:rsidR="000D2D25" w:rsidRDefault="000D2D25">
      <w:pPr>
        <w:pStyle w:val="ConsPlusNormal"/>
        <w:jc w:val="right"/>
      </w:pPr>
      <w:r>
        <w:t>Минфина России</w:t>
      </w: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Normal"/>
        <w:jc w:val="both"/>
      </w:pPr>
    </w:p>
    <w:p w:rsidR="000D2D25" w:rsidRDefault="000D2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AEA" w:rsidRDefault="00F02AEA"/>
    <w:sectPr w:rsidR="00F02AEA" w:rsidSect="008B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25"/>
    <w:rsid w:val="000D2D25"/>
    <w:rsid w:val="00E3576E"/>
    <w:rsid w:val="00F0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51BF"/>
  <w15:chartTrackingRefBased/>
  <w15:docId w15:val="{86D4AC54-2DB4-411B-9C4C-5B49749B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612284C2247DF85CCA611C765F2E7080313F42D00C40A51B12C09D4F384F72986BE0E2CB13DE628575D92EE04E1AEB10C19EE0C395741SCKCH" TargetMode="External"/><Relationship Id="rId13" Type="http://schemas.openxmlformats.org/officeDocument/2006/relationships/hyperlink" Target="consultantplus://offline/ref=E17612284C2247DF85CCA611C765F2E7080912F82905C40A51B12C09D4F384F72986BE0E2CB13FEF21575D92EE04E1AEB10C19EE0C395741SCKCH" TargetMode="External"/><Relationship Id="rId18" Type="http://schemas.openxmlformats.org/officeDocument/2006/relationships/hyperlink" Target="consultantplus://offline/ref=E17612284C2247DF85CCA611C765F2E7080313F42D00C40A51B12C09D4F384F72986BE0A2BBA6BBF650904C1AF4FEDADAA1018EDS1K3H" TargetMode="External"/><Relationship Id="rId26" Type="http://schemas.openxmlformats.org/officeDocument/2006/relationships/hyperlink" Target="consultantplus://offline/ref=E17612284C2247DF85CCA611C765F2E7090812F52A02C40A51B12C09D4F384F72986BE0E2CB13FEB24575D92EE04E1AEB10C19EE0C395741SCK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7612284C2247DF85CCA611C765F2E7080116F42653930800E4220CDCA3DEE73FCFB10A32B03EF0235C0BSCK2H" TargetMode="External"/><Relationship Id="rId7" Type="http://schemas.openxmlformats.org/officeDocument/2006/relationships/hyperlink" Target="consultantplus://offline/ref=E17612284C2247DF85CCA611C765F2E7080912F82905C40A51B12C09D4F384F72986BE0E2CB13FEF21575D92EE04E1AEB10C19EE0C395741SCKCH" TargetMode="External"/><Relationship Id="rId12" Type="http://schemas.openxmlformats.org/officeDocument/2006/relationships/hyperlink" Target="consultantplus://offline/ref=E17612284C2247DF85CCA611C765F2E7080913FD2F03C40A51B12C09D4F384F73B86E6022EB421EF20420BC3A8S5K0H" TargetMode="External"/><Relationship Id="rId17" Type="http://schemas.openxmlformats.org/officeDocument/2006/relationships/hyperlink" Target="consultantplus://offline/ref=E17612284C2247DF85CCA611C765F2E7080313F42D00C40A51B12C09D4F384F73B86E6022EB421EF20420BC3A8S5K0H" TargetMode="External"/><Relationship Id="rId25" Type="http://schemas.openxmlformats.org/officeDocument/2006/relationships/hyperlink" Target="consultantplus://offline/ref=E17612284C2247DF85CCA611C765F2E7090812F52A02C40A51B12C09D4F384F72986BE0E2CB13FEA28575D92EE04E1AEB10C19EE0C395741SCK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7612284C2247DF85CCA611C765F2E7080912F82905C40A51B12C09D4F384F72986BE0E2CB13FEF21575D92EE04E1AEB10C19EE0C395741SCKCH" TargetMode="External"/><Relationship Id="rId20" Type="http://schemas.openxmlformats.org/officeDocument/2006/relationships/hyperlink" Target="consultantplus://offline/ref=E17612284C2247DF85CCA611C765F2E7080116F42653930800E4220CDCA3DEE73FCFB10A32B03EF0235C0BSCK2H" TargetMode="External"/><Relationship Id="rId29" Type="http://schemas.openxmlformats.org/officeDocument/2006/relationships/hyperlink" Target="consultantplus://offline/ref=E17612284C2247DF85CCA611C765F2E7080912F4280DC40A51B12C09D4F384F72986BE0E2CB13FEE29575D92EE04E1AEB10C19EE0C395741SCK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612284C2247DF85CCA611C765F2E7080912F82905C40A51B12C09D4F384F72986BE0E2CB13FEF21575D92EE04E1AEB10C19EE0C395741SCKCH" TargetMode="External"/><Relationship Id="rId11" Type="http://schemas.openxmlformats.org/officeDocument/2006/relationships/hyperlink" Target="consultantplus://offline/ref=E17612284C2247DF85CCA611C765F2E7080913FD2F03C40A51B12C09D4F384F72986BE0E2CB13FED22575D92EE04E1AEB10C19EE0C395741SCKCH" TargetMode="External"/><Relationship Id="rId24" Type="http://schemas.openxmlformats.org/officeDocument/2006/relationships/hyperlink" Target="consultantplus://offline/ref=E17612284C2247DF85CCA611C765F2E7090812F52A02C40A51B12C09D4F384F72986BE0E2CB13FEF24575D92EE04E1AEB10C19EE0C395741SCKCH" TargetMode="External"/><Relationship Id="rId5" Type="http://schemas.openxmlformats.org/officeDocument/2006/relationships/hyperlink" Target="consultantplus://offline/ref=E17612284C2247DF85CCA611C765F2E7080912F82905C40A51B12C09D4F384F72986BE0E2CB13FEF21575D92EE04E1AEB10C19EE0C395741SCKCH" TargetMode="External"/><Relationship Id="rId15" Type="http://schemas.openxmlformats.org/officeDocument/2006/relationships/hyperlink" Target="consultantplus://offline/ref=E17612284C2247DF85CCA611C765F2E7080912F82905C40A51B12C09D4F384F72986BE0E2CB13FEB22575D92EE04E1AEB10C19EE0C395741SCKCH" TargetMode="External"/><Relationship Id="rId23" Type="http://schemas.openxmlformats.org/officeDocument/2006/relationships/hyperlink" Target="consultantplus://offline/ref=E17612284C2247DF85CCA611C765F2E7080912F82905C40A51B12C09D4F384F72986BE0E2CB13FEF21575D92EE04E1AEB10C19EE0C395741SCKCH" TargetMode="External"/><Relationship Id="rId28" Type="http://schemas.openxmlformats.org/officeDocument/2006/relationships/hyperlink" Target="consultantplus://offline/ref=E17612284C2247DF85CCA611C765F2E7080313F42D00C40A51B12C09D4F384F72986BE0E2CB13CEA25575D92EE04E1AEB10C19EE0C395741SCKCH" TargetMode="External"/><Relationship Id="rId10" Type="http://schemas.openxmlformats.org/officeDocument/2006/relationships/hyperlink" Target="consultantplus://offline/ref=E17612284C2247DF85CCA611C765F2E7080313F42D00C40A51B12C09D4F384F72986BE092CBA6BBF650904C1AF4FEDADAA1018EDS1K3H" TargetMode="External"/><Relationship Id="rId19" Type="http://schemas.openxmlformats.org/officeDocument/2006/relationships/hyperlink" Target="consultantplus://offline/ref=E17612284C2247DF85CCA611C765F2E7080912F82905C40A51B12C09D4F384F72986BE0E2CB13FEE26575D92EE04E1AEB10C19EE0C395741SCKC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17612284C2247DF85CCA611C765F2E7080912F82905C40A51B12C09D4F384F72986BE0E2CB13FEF21575D92EE04E1AEB10C19EE0C395741SCKCH" TargetMode="External"/><Relationship Id="rId9" Type="http://schemas.openxmlformats.org/officeDocument/2006/relationships/hyperlink" Target="consultantplus://offline/ref=E17612284C2247DF85CCA611C765F2E7080912F82905C40A51B12C09D4F384F72986BE0E2CB13FEC26575D92EE04E1AEB10C19EE0C395741SCKCH" TargetMode="External"/><Relationship Id="rId14" Type="http://schemas.openxmlformats.org/officeDocument/2006/relationships/hyperlink" Target="consultantplus://offline/ref=E17612284C2247DF85CCA611C765F2E7080912F82905C40A51B12C09D4F384F72986BE0E2CB13FEF21575D92EE04E1AEB10C19EE0C395741SCKCH" TargetMode="External"/><Relationship Id="rId22" Type="http://schemas.openxmlformats.org/officeDocument/2006/relationships/hyperlink" Target="consultantplus://offline/ref=E17612284C2247DF85CCA611C765F2E7080416FC2A02C40A51B12C09D4F384F72986BE0E2CB13FEC25575D92EE04E1AEB10C19EE0C395741SCKCH" TargetMode="External"/><Relationship Id="rId27" Type="http://schemas.openxmlformats.org/officeDocument/2006/relationships/hyperlink" Target="consultantplus://offline/ref=E17612284C2247DF85CCA611C765F2E7090812F52A02C40A51B12C09D4F384F72986BE0E2CB13FE927575D92EE04E1AEB10C19EE0C395741SCK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УИЦ МФП</Company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Анастасия Юрьевна</dc:creator>
  <cp:keywords/>
  <dc:description/>
  <cp:lastModifiedBy>Сорокина Анастасия Юрьевна</cp:lastModifiedBy>
  <cp:revision>2</cp:revision>
  <dcterms:created xsi:type="dcterms:W3CDTF">2021-11-25T07:10:00Z</dcterms:created>
  <dcterms:modified xsi:type="dcterms:W3CDTF">2021-11-25T07:18:00Z</dcterms:modified>
</cp:coreProperties>
</file>